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BB" w:rsidRDefault="008D7FBB" w:rsidP="008D7FBB">
      <w:pPr>
        <w:jc w:val="both"/>
      </w:pPr>
      <w:r>
        <w:rPr>
          <w:lang w:val="mk-MK"/>
        </w:rPr>
        <w:t>Врз основа на член 37 став 13 од Статутот на Карате федерацијата на РС Македонија, Извршниот одбор постапувајќи по доставениот материјал, по пат на електронско изјаснување на ден</w:t>
      </w:r>
      <w:r w:rsidR="00BA668F">
        <w:rPr>
          <w:lang w:val="mk-MK"/>
        </w:rPr>
        <w:t xml:space="preserve"> </w:t>
      </w:r>
      <w:r w:rsidR="00B4578B">
        <w:rPr>
          <w:lang w:val="mk-MK"/>
        </w:rPr>
        <w:t>03.07</w:t>
      </w:r>
      <w:bookmarkStart w:id="0" w:name="_GoBack"/>
      <w:bookmarkEnd w:id="0"/>
      <w:r>
        <w:t>.202</w:t>
      </w:r>
      <w:r>
        <w:rPr>
          <w:lang w:val="mk-MK"/>
        </w:rPr>
        <w:t xml:space="preserve">5 година, ја донесе следната </w:t>
      </w:r>
    </w:p>
    <w:p w:rsidR="008D7FBB" w:rsidRDefault="008D7FBB" w:rsidP="00B32A3E">
      <w:pPr>
        <w:ind w:firstLine="720"/>
        <w:jc w:val="both"/>
      </w:pPr>
    </w:p>
    <w:p w:rsidR="008D7FBB" w:rsidRPr="002F0413" w:rsidRDefault="008D7FBB" w:rsidP="00B32A3E">
      <w:pPr>
        <w:pStyle w:val="NoSpacing"/>
        <w:tabs>
          <w:tab w:val="left" w:pos="3967"/>
          <w:tab w:val="center" w:pos="4513"/>
        </w:tabs>
        <w:jc w:val="center"/>
        <w:rPr>
          <w:rFonts w:ascii="Times New Roman" w:hAnsi="Times New Roman"/>
          <w:b/>
          <w:sz w:val="28"/>
        </w:rPr>
      </w:pPr>
      <w:r w:rsidRPr="002F0413">
        <w:rPr>
          <w:rFonts w:ascii="Times New Roman" w:hAnsi="Times New Roman"/>
          <w:b/>
          <w:sz w:val="28"/>
        </w:rPr>
        <w:t>ОДЛУКА</w:t>
      </w:r>
    </w:p>
    <w:p w:rsidR="008D7FBB" w:rsidRDefault="008D7FBB" w:rsidP="00B32A3E">
      <w:pPr>
        <w:ind w:firstLine="720"/>
        <w:jc w:val="both"/>
        <w:rPr>
          <w:lang w:val="mk-MK"/>
        </w:rPr>
      </w:pPr>
    </w:p>
    <w:p w:rsidR="008D7FBB" w:rsidRPr="00B76860" w:rsidRDefault="008D7FBB" w:rsidP="008D7FBB">
      <w:pPr>
        <w:pStyle w:val="ListParagraph"/>
        <w:numPr>
          <w:ilvl w:val="0"/>
          <w:numId w:val="1"/>
        </w:numPr>
        <w:ind w:left="360"/>
        <w:contextualSpacing/>
        <w:jc w:val="both"/>
        <w:rPr>
          <w:lang w:val="mk-MK"/>
        </w:rPr>
      </w:pPr>
      <w:r>
        <w:rPr>
          <w:lang w:val="mk-MK"/>
        </w:rPr>
        <w:t xml:space="preserve">ЗА РЕФУНДАЦИЈА на средства за направени трошоци за сместување и превоз на членовите на сениорската репрезентација за учество на Европското првенство </w:t>
      </w:r>
      <w:r w:rsidRPr="00B76860">
        <w:rPr>
          <w:lang w:val="mk-MK"/>
        </w:rPr>
        <w:t>за сениори што се одржа во периодот од 07-11.05.2025 година во Ереван, Ерменија</w:t>
      </w:r>
      <w:r>
        <w:rPr>
          <w:lang w:val="mk-MK"/>
        </w:rPr>
        <w:t xml:space="preserve"> во вкупен износ од 946.120,оо денари;</w:t>
      </w:r>
    </w:p>
    <w:p w:rsidR="008D7FBB" w:rsidRPr="00B76860" w:rsidRDefault="008D7FBB" w:rsidP="00B32A3E">
      <w:pPr>
        <w:pStyle w:val="ListParagraph"/>
        <w:ind w:left="360"/>
        <w:jc w:val="both"/>
        <w:rPr>
          <w:lang w:val="mk-MK"/>
        </w:rPr>
      </w:pPr>
    </w:p>
    <w:p w:rsidR="008D7FBB" w:rsidRPr="00B76860" w:rsidRDefault="008D7FBB" w:rsidP="008D7FBB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lang w:val="mk-MK"/>
        </w:rPr>
      </w:pPr>
      <w:r w:rsidRPr="00B76860">
        <w:rPr>
          <w:lang w:val="mk-MK"/>
        </w:rPr>
        <w:t>Рефундацијата на овие средства, ќе биде извршена согласно доставените барања и докази во прилог за извршени уплати од страна репрезентативците или клубовите кои што ги извршиле уплатите;</w:t>
      </w:r>
    </w:p>
    <w:p w:rsidR="008D7FBB" w:rsidRPr="00B76860" w:rsidRDefault="008D7FBB" w:rsidP="00B32A3E">
      <w:pPr>
        <w:pStyle w:val="ListParagraph"/>
        <w:ind w:left="360"/>
        <w:jc w:val="both"/>
        <w:rPr>
          <w:lang w:val="mk-MK"/>
        </w:rPr>
      </w:pPr>
    </w:p>
    <w:p w:rsidR="008D7FBB" w:rsidRPr="00B76860" w:rsidRDefault="008D7FBB" w:rsidP="008D7FBB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lang w:val="mk-MK"/>
        </w:rPr>
      </w:pPr>
      <w:r w:rsidRPr="00B76860">
        <w:rPr>
          <w:lang w:val="mk-MK"/>
        </w:rPr>
        <w:t xml:space="preserve">Рефундацијата ќе </w:t>
      </w:r>
      <w:r>
        <w:rPr>
          <w:lang w:val="mk-MK"/>
        </w:rPr>
        <w:t>биде</w:t>
      </w:r>
      <w:r w:rsidRPr="00B76860">
        <w:rPr>
          <w:lang w:val="mk-MK"/>
        </w:rPr>
        <w:t xml:space="preserve"> изврш</w:t>
      </w:r>
      <w:r>
        <w:rPr>
          <w:lang w:val="mk-MK"/>
        </w:rPr>
        <w:t>ена еден дел</w:t>
      </w:r>
      <w:r w:rsidRPr="00B76860">
        <w:rPr>
          <w:lang w:val="mk-MK"/>
        </w:rPr>
        <w:t xml:space="preserve"> од наменски добиените средства од страна на Министерството за спорт во висина од 500.000,оо денари од сметката од Игри на среќа</w:t>
      </w:r>
      <w:r>
        <w:rPr>
          <w:lang w:val="mk-MK"/>
        </w:rPr>
        <w:t xml:space="preserve"> на Карате федерацијата на РС Македонија</w:t>
      </w:r>
      <w:r w:rsidRPr="00B76860">
        <w:rPr>
          <w:lang w:val="mk-MK"/>
        </w:rPr>
        <w:t xml:space="preserve">, додека </w:t>
      </w:r>
      <w:r>
        <w:rPr>
          <w:lang w:val="mk-MK"/>
        </w:rPr>
        <w:t>вториот дел</w:t>
      </w:r>
      <w:r w:rsidRPr="00B76860">
        <w:rPr>
          <w:lang w:val="mk-MK"/>
        </w:rPr>
        <w:t xml:space="preserve"> до целосно рефундирање на овие трошоци во висина од </w:t>
      </w:r>
      <w:r w:rsidRPr="00B76860">
        <w:rPr>
          <w:color w:val="222222"/>
          <w:shd w:val="clear" w:color="auto" w:fill="FFFFFF"/>
        </w:rPr>
        <w:t xml:space="preserve">446.120 </w:t>
      </w:r>
      <w:proofErr w:type="spellStart"/>
      <w:r w:rsidRPr="00B76860">
        <w:rPr>
          <w:color w:val="222222"/>
          <w:shd w:val="clear" w:color="auto" w:fill="FFFFFF"/>
        </w:rPr>
        <w:t>денари</w:t>
      </w:r>
      <w:proofErr w:type="spellEnd"/>
      <w:r w:rsidRPr="00B76860">
        <w:rPr>
          <w:lang w:val="mk-MK"/>
        </w:rPr>
        <w:t xml:space="preserve">, ќе бидат </w:t>
      </w:r>
      <w:r>
        <w:rPr>
          <w:lang w:val="mk-MK"/>
        </w:rPr>
        <w:t>извршени од Ваучерската сметка на Карате федерацијата на РС Македонија;</w:t>
      </w:r>
    </w:p>
    <w:p w:rsidR="008D7FBB" w:rsidRPr="00B67FA2" w:rsidRDefault="008D7FBB" w:rsidP="00B32A3E">
      <w:pPr>
        <w:pStyle w:val="ListParagraph"/>
        <w:rPr>
          <w:lang w:val="mk-MK"/>
        </w:rPr>
      </w:pPr>
    </w:p>
    <w:p w:rsidR="008D7FBB" w:rsidRDefault="008D7FBB" w:rsidP="008D7FBB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lang w:val="mk-MK"/>
        </w:rPr>
      </w:pPr>
      <w:r w:rsidRPr="00F479A4">
        <w:rPr>
          <w:lang w:val="mk-MK"/>
        </w:rPr>
        <w:t>Одлуката влегува во сила по потпишувањето.</w:t>
      </w:r>
    </w:p>
    <w:p w:rsidR="008D7FBB" w:rsidRPr="003705FE" w:rsidRDefault="008D7FBB" w:rsidP="00B32A3E">
      <w:pPr>
        <w:pStyle w:val="ListParagraph"/>
        <w:rPr>
          <w:lang w:val="mk-MK"/>
        </w:rPr>
      </w:pPr>
    </w:p>
    <w:p w:rsidR="008D7FBB" w:rsidRPr="006204C5" w:rsidRDefault="008D7FBB" w:rsidP="008D7FBB">
      <w:pPr>
        <w:jc w:val="both"/>
        <w:rPr>
          <w:lang w:val="en-US"/>
        </w:rPr>
      </w:pPr>
    </w:p>
    <w:tbl>
      <w:tblPr>
        <w:tblStyle w:val="a"/>
        <w:tblW w:w="88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 w:rsidTr="00167E4C">
        <w:trPr>
          <w:trHeight w:val="2850"/>
          <w:jc w:val="right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167E4C">
            <w:pPr>
              <w:spacing w:before="240" w:line="276" w:lineRule="auto"/>
              <w:jc w:val="center"/>
            </w:pPr>
            <w:r>
              <w:rPr>
                <w:lang w:val="mk-MK"/>
              </w:rPr>
              <w:t xml:space="preserve">    </w:t>
            </w:r>
            <w:r w:rsidR="008A5FB0"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8A5FB0">
            <w:pPr>
              <w:spacing w:before="240" w:line="276" w:lineRule="auto"/>
              <w:jc w:val="center"/>
            </w:pPr>
            <w:r>
              <w:t>_____________________</w:t>
            </w: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9D4" w:rsidRDefault="002769D4">
      <w:r>
        <w:separator/>
      </w:r>
    </w:p>
  </w:endnote>
  <w:endnote w:type="continuationSeparator" w:id="0">
    <w:p w:rsidR="002769D4" w:rsidRDefault="0027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9D4" w:rsidRDefault="002769D4">
      <w:r>
        <w:separator/>
      </w:r>
    </w:p>
  </w:footnote>
  <w:footnote w:type="continuationSeparator" w:id="0">
    <w:p w:rsidR="002769D4" w:rsidRDefault="0027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16136F"/>
    <w:rsid w:val="00167E4C"/>
    <w:rsid w:val="002769D4"/>
    <w:rsid w:val="00425170"/>
    <w:rsid w:val="004372E3"/>
    <w:rsid w:val="00470EA0"/>
    <w:rsid w:val="00491025"/>
    <w:rsid w:val="00745C90"/>
    <w:rsid w:val="00886397"/>
    <w:rsid w:val="008A5FB0"/>
    <w:rsid w:val="008D7FBB"/>
    <w:rsid w:val="00A17D4A"/>
    <w:rsid w:val="00B4578B"/>
    <w:rsid w:val="00BA668F"/>
    <w:rsid w:val="00C866A6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FA33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5</cp:revision>
  <cp:lastPrinted>2025-10-16T10:43:00Z</cp:lastPrinted>
  <dcterms:created xsi:type="dcterms:W3CDTF">2025-10-10T09:29:00Z</dcterms:created>
  <dcterms:modified xsi:type="dcterms:W3CDTF">2025-10-16T10:44:00Z</dcterms:modified>
</cp:coreProperties>
</file>